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4E2C4C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Visite </w:t>
      </w:r>
      <w:r w:rsidR="00021542">
        <w:rPr>
          <w:rFonts w:ascii="Arial" w:hAnsi="Arial" w:cs="Arial"/>
          <w:b/>
          <w:bCs/>
          <w:sz w:val="48"/>
          <w:szCs w:val="48"/>
        </w:rPr>
        <w:t xml:space="preserve">HSE du site, </w:t>
      </w:r>
      <w:r>
        <w:rPr>
          <w:rFonts w:ascii="Arial" w:hAnsi="Arial" w:cs="Arial"/>
          <w:b/>
          <w:bCs/>
          <w:sz w:val="48"/>
          <w:szCs w:val="48"/>
        </w:rPr>
        <w:t>accompagnée par un supérieur hiérarchiq</w:t>
      </w: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ue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2534E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2348B4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2348B4">
              <w:rPr>
                <w:rFonts w:ascii="Arial" w:hAnsi="Arial" w:cs="Arial"/>
                <w:u w:val="single"/>
              </w:rPr>
              <w:t>:</w:t>
            </w:r>
          </w:p>
          <w:p w:rsidR="00F258E0" w:rsidRPr="002348B4" w:rsidRDefault="0051527D" w:rsidP="00A10B3D">
            <w:pPr>
              <w:rPr>
                <w:rFonts w:ascii="Arial" w:hAnsi="Arial" w:cs="Arial"/>
                <w:lang w:val="fr-FR"/>
              </w:rPr>
            </w:pPr>
            <w:r w:rsidRPr="002348B4">
              <w:rPr>
                <w:rFonts w:ascii="Arial" w:hAnsi="Arial" w:cs="Arial"/>
                <w:lang w:val="fr-FR"/>
              </w:rPr>
              <w:t>A la fin de la séquence</w:t>
            </w:r>
            <w:r w:rsidR="00F258E0" w:rsidRPr="002348B4">
              <w:rPr>
                <w:rFonts w:ascii="Arial" w:hAnsi="Arial" w:cs="Arial"/>
                <w:lang w:val="fr-FR"/>
              </w:rPr>
              <w:t>,</w:t>
            </w:r>
            <w:r w:rsidRPr="002348B4">
              <w:rPr>
                <w:rFonts w:ascii="Arial" w:hAnsi="Arial" w:cs="Arial"/>
                <w:lang w:val="fr-FR"/>
              </w:rPr>
              <w:t xml:space="preserve"> les participants</w:t>
            </w:r>
            <w:r w:rsidR="00F258E0" w:rsidRPr="002348B4">
              <w:rPr>
                <w:rFonts w:ascii="Arial" w:hAnsi="Arial" w:cs="Arial"/>
                <w:lang w:val="fr-FR"/>
              </w:rPr>
              <w:t> :</w:t>
            </w:r>
          </w:p>
          <w:p w:rsidR="004E2C4C" w:rsidRPr="000266B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fr-FR"/>
              </w:rPr>
            </w:pPr>
            <w:r w:rsidRPr="000266BF">
              <w:rPr>
                <w:rFonts w:ascii="Arial" w:hAnsi="Arial" w:cs="Arial"/>
                <w:lang w:val="fr-FR"/>
              </w:rPr>
              <w:t>Connaissent les applications concrètes du SM HSE sur le site.</w:t>
            </w:r>
          </w:p>
          <w:p w:rsidR="004E2C4C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fr-FR"/>
              </w:rPr>
            </w:pPr>
            <w:r w:rsidRPr="000266BF">
              <w:rPr>
                <w:rFonts w:ascii="Arial" w:hAnsi="Arial" w:cs="Arial"/>
                <w:lang w:val="fr-FR"/>
              </w:rPr>
              <w:t>Ont rencontré les principaux interlocuteurs HSE du site</w:t>
            </w:r>
            <w:r>
              <w:rPr>
                <w:rFonts w:ascii="Arial" w:hAnsi="Arial" w:cs="Arial"/>
                <w:lang w:val="fr-FR"/>
              </w:rPr>
              <w:t xml:space="preserve"> et compris leur rôle.</w:t>
            </w:r>
          </w:p>
          <w:p w:rsidR="00D230DC" w:rsidRPr="002348B4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Sont capables de restituer qui fait quoi en matière d’HSE.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  <w:r>
        <w:rPr>
          <w:rFonts w:hAnsi="Helvetica" w:cs="Helvetica"/>
          <w:b/>
          <w:bCs/>
          <w:color w:val="353535"/>
        </w:rPr>
        <w:t xml:space="preserve">Cette </w:t>
      </w:r>
      <w:r w:rsidR="002534E6">
        <w:rPr>
          <w:rFonts w:hAnsi="Helvetica" w:cs="Helvetica"/>
          <w:b/>
          <w:bCs/>
          <w:color w:val="353535"/>
        </w:rPr>
        <w:t>séquence</w:t>
      </w:r>
      <w:r>
        <w:rPr>
          <w:rFonts w:hAnsi="Helvetica" w:cs="Helvetica"/>
          <w:b/>
          <w:bCs/>
          <w:color w:val="353535"/>
        </w:rPr>
        <w:t xml:space="preserve"> est à construire localement.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  <w:r>
        <w:rPr>
          <w:rFonts w:hAnsi="Helvetica" w:cs="Helvetica"/>
          <w:b/>
          <w:bCs/>
          <w:color w:val="353535"/>
        </w:rPr>
        <w:t>Il s’agit d’organiser une visite générale du site en faisant un focus sur certaines zones essentielles pour la gestion des risques et urgences et sur la re</w:t>
      </w:r>
      <w:r w:rsidR="00785D6F">
        <w:rPr>
          <w:rFonts w:hAnsi="Helvetica" w:cs="Helvetica"/>
          <w:b/>
          <w:bCs/>
          <w:color w:val="353535"/>
        </w:rPr>
        <w:t>ncontre de personnels clés en H</w:t>
      </w:r>
      <w:r>
        <w:rPr>
          <w:rFonts w:hAnsi="Helvetica" w:cs="Helvetica"/>
          <w:b/>
          <w:bCs/>
          <w:color w:val="353535"/>
        </w:rPr>
        <w:t xml:space="preserve">SE. 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</w:p>
    <w:p w:rsidR="00A068EE" w:rsidRPr="004E2C4C" w:rsidRDefault="004E2C4C" w:rsidP="004E2C4C">
      <w:pPr>
        <w:pStyle w:val="Corps"/>
        <w:rPr>
          <w:rFonts w:ascii="Arial" w:hAnsi="Arial" w:cs="Arial"/>
        </w:rPr>
      </w:pPr>
      <w:r>
        <w:rPr>
          <w:rFonts w:hAnsi="Helvetica" w:cs="Helvetica"/>
          <w:b/>
          <w:bCs/>
          <w:color w:val="353535"/>
        </w:rPr>
        <w:t>Cette visite sera complétée par une journée passée en compagnie d’un membre de l’équipe HSE (</w:t>
      </w:r>
      <w:proofErr w:type="spellStart"/>
      <w:r>
        <w:rPr>
          <w:rFonts w:hAnsi="Helvetica" w:cs="Helvetica"/>
          <w:b/>
          <w:bCs/>
          <w:color w:val="353535"/>
        </w:rPr>
        <w:t>Shadowing</w:t>
      </w:r>
      <w:proofErr w:type="spellEnd"/>
      <w:r>
        <w:rPr>
          <w:rFonts w:hAnsi="Helvetica" w:cs="Helvetica"/>
          <w:b/>
          <w:bCs/>
          <w:color w:val="353535"/>
        </w:rPr>
        <w:t>).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 xml:space="preserve">Ce document contient des suggestions </w:t>
      </w:r>
      <w:r w:rsidR="004E2C4C">
        <w:rPr>
          <w:rFonts w:ascii="Arial" w:hAnsi="Arial" w:cs="Arial"/>
          <w:b/>
          <w:bCs/>
          <w:color w:val="353535"/>
        </w:rPr>
        <w:t xml:space="preserve">pour organiser ces activités de façon à </w:t>
      </w:r>
      <w:r w:rsidRPr="002348B4">
        <w:rPr>
          <w:rFonts w:ascii="Arial" w:hAnsi="Arial" w:cs="Arial"/>
          <w:b/>
          <w:bCs/>
          <w:color w:val="353535"/>
        </w:rPr>
        <w:t xml:space="preserve">atteindre les objectifs </w:t>
      </w:r>
      <w:r w:rsidR="004E2C4C">
        <w:rPr>
          <w:rFonts w:ascii="Arial" w:hAnsi="Arial" w:cs="Arial"/>
          <w:b/>
          <w:bCs/>
          <w:color w:val="353535"/>
        </w:rPr>
        <w:t>du</w:t>
      </w:r>
      <w:r w:rsidRPr="002348B4">
        <w:rPr>
          <w:rFonts w:ascii="Arial" w:hAnsi="Arial" w:cs="Arial"/>
          <w:b/>
          <w:bCs/>
          <w:color w:val="353535"/>
        </w:rPr>
        <w:t xml:space="preserve"> module.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b/>
          <w:u w:val="single"/>
          <w:lang w:val="fr-FR"/>
        </w:rPr>
        <w:t>Estimation de durée :</w:t>
      </w:r>
    </w:p>
    <w:p w:rsidR="006F3BF4" w:rsidRPr="002348B4" w:rsidRDefault="004E2C4C" w:rsidP="005A3E1E">
      <w:pPr>
        <w:spacing w:before="120"/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lang w:val="fr-FR"/>
        </w:rPr>
        <w:t>De 2h00 à 3</w:t>
      </w:r>
      <w:r w:rsidR="00D11427" w:rsidRPr="002348B4">
        <w:rPr>
          <w:rFonts w:ascii="Arial" w:hAnsi="Arial" w:cs="Arial"/>
          <w:lang w:val="fr-FR"/>
        </w:rPr>
        <w:t>h</w:t>
      </w:r>
      <w:r>
        <w:rPr>
          <w:rFonts w:ascii="Arial" w:hAnsi="Arial" w:cs="Arial"/>
          <w:lang w:val="fr-FR"/>
        </w:rPr>
        <w:t>3</w:t>
      </w:r>
      <w:r w:rsidR="005945E9" w:rsidRPr="002348B4">
        <w:rPr>
          <w:rFonts w:ascii="Arial" w:hAnsi="Arial" w:cs="Arial"/>
          <w:lang w:val="fr-FR"/>
        </w:rPr>
        <w:t>0</w:t>
      </w:r>
      <w:r w:rsidR="000568B8">
        <w:rPr>
          <w:rFonts w:ascii="Arial" w:hAnsi="Arial" w:cs="Arial"/>
          <w:lang w:val="fr-FR"/>
        </w:rPr>
        <w:t xml:space="preserve"> (visite) puis 2h30 à 4h00 (workshop)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  <w:lang w:val="fr-FR" w:eastAsia="fr-FR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  <w:lang w:val="fr-FR" w:eastAsia="fr-FR"/>
        </w:rPr>
      </w:pPr>
      <w:r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Recommandations de Modalités pédagogique</w:t>
      </w:r>
      <w:r w:rsidR="00212745"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s</w:t>
      </w:r>
      <w:r w:rsidRPr="002348B4">
        <w:rPr>
          <w:rFonts w:ascii="Arial" w:hAnsi="Arial" w:cs="Arial"/>
          <w:b/>
          <w:bCs/>
          <w:color w:val="000000"/>
          <w:lang w:val="fr-FR" w:eastAsia="fr-FR"/>
        </w:rPr>
        <w:t> :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Ce module consiste à effectuer un tour HSE avec les participants</w:t>
      </w:r>
      <w:r w:rsidR="00A05D13">
        <w:rPr>
          <w:rFonts w:ascii="Arial" w:hAnsi="Arial" w:cs="Arial"/>
        </w:rPr>
        <w:t>, à la fin du module 3.2</w:t>
      </w:r>
      <w:r>
        <w:rPr>
          <w:rFonts w:ascii="Arial" w:hAnsi="Arial" w:cs="Arial"/>
        </w:rPr>
        <w:t>. Ce tour est l’occasion de connaître les membres de l’équipe HSE.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Il se termine par un workshop permettant de restituer qui fait quoi.</w:t>
      </w:r>
    </w:p>
    <w:p w:rsidR="002E1D12" w:rsidRPr="002E1D12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</w:rPr>
      </w:pPr>
      <w:r w:rsidRPr="00CE1832">
        <w:rPr>
          <w:rFonts w:ascii="Arial" w:hAnsi="Arial" w:cs="Arial"/>
        </w:rPr>
        <w:t xml:space="preserve">Il est </w:t>
      </w:r>
      <w:r>
        <w:rPr>
          <w:rFonts w:ascii="Arial" w:hAnsi="Arial" w:cs="Arial"/>
        </w:rPr>
        <w:t>requis</w:t>
      </w:r>
      <w:r w:rsidRPr="00CE1832">
        <w:rPr>
          <w:rFonts w:ascii="Arial" w:hAnsi="Arial" w:cs="Arial"/>
        </w:rPr>
        <w:t xml:space="preserve"> que cette visite soit accompagnée par un N+1 proche des participants pour accentuer sur l’exemplarité du management en matière d’HSE et sur le message : </w:t>
      </w:r>
      <w:r>
        <w:rPr>
          <w:rFonts w:ascii="Arial" w:hAnsi="Arial" w:cs="Arial"/>
        </w:rPr>
        <w:t>« </w:t>
      </w:r>
      <w:r w:rsidRPr="00CE1832">
        <w:rPr>
          <w:rFonts w:ascii="Arial" w:hAnsi="Arial" w:cs="Arial"/>
        </w:rPr>
        <w:t>Le HSE est l’affaire de tous</w:t>
      </w:r>
      <w:r>
        <w:rPr>
          <w:rFonts w:ascii="Arial" w:hAnsi="Arial" w:cs="Arial"/>
        </w:rPr>
        <w:t> »</w:t>
      </w:r>
      <w:r w:rsidRPr="00CE1832">
        <w:rPr>
          <w:rFonts w:ascii="Arial" w:hAnsi="Arial" w:cs="Arial"/>
        </w:rPr>
        <w:t>.</w:t>
      </w:r>
    </w:p>
    <w:p w:rsidR="009C60C8" w:rsidRPr="002348B4" w:rsidRDefault="00FB5BEF" w:rsidP="009B0A85">
      <w:pPr>
        <w:pStyle w:val="Sous-titre"/>
      </w:pPr>
      <w:r w:rsidRPr="002348B4">
        <w:t>Modules p</w:t>
      </w:r>
      <w:r w:rsidR="00AA35BC" w:rsidRPr="002348B4">
        <w:t>ré</w:t>
      </w:r>
      <w:r w:rsidRPr="002348B4">
        <w:t>-requis</w:t>
      </w:r>
      <w:r w:rsidR="00AA35BC" w:rsidRPr="002348B4">
        <w:t xml:space="preserve"> de la séquence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Tou</w:t>
      </w:r>
      <w:r w:rsidR="00B66DF6" w:rsidRPr="002348B4">
        <w:rPr>
          <w:rFonts w:ascii="Arial" w:hAnsi="Arial" w:cs="Arial"/>
          <w:lang w:val="fr-FR"/>
        </w:rPr>
        <w:t>t</w:t>
      </w:r>
      <w:r w:rsidRPr="002348B4">
        <w:rPr>
          <w:rFonts w:ascii="Arial" w:hAnsi="Arial" w:cs="Arial"/>
          <w:lang w:val="fr-FR"/>
        </w:rPr>
        <w:t xml:space="preserve"> le </w:t>
      </w:r>
      <w:r w:rsidR="00F40DE4" w:rsidRPr="002348B4">
        <w:rPr>
          <w:rFonts w:ascii="Arial" w:hAnsi="Arial" w:cs="Arial"/>
          <w:lang w:val="fr-FR"/>
        </w:rPr>
        <w:t>TCG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</w:t>
      </w:r>
      <w:r w:rsidR="009B0A85" w:rsidRPr="002348B4">
        <w:rPr>
          <w:rFonts w:ascii="Arial" w:hAnsi="Arial" w:cs="Arial"/>
          <w:lang w:val="fr-FR"/>
        </w:rPr>
        <w:t xml:space="preserve">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TCAS 3.2</w:t>
      </w:r>
    </w:p>
    <w:p w:rsidR="00CA1753" w:rsidRDefault="00FB5BEF" w:rsidP="00CA1753">
      <w:pPr>
        <w:pStyle w:val="Sous-titre"/>
      </w:pPr>
      <w:r w:rsidRPr="002348B4">
        <w:t>Préparation de la séquence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Pour ce module, vous </w:t>
      </w:r>
      <w:r w:rsidR="000568B8">
        <w:rPr>
          <w:b w:val="0"/>
          <w:sz w:val="24"/>
          <w:szCs w:val="24"/>
        </w:rPr>
        <w:t>devrez</w:t>
      </w:r>
      <w:r w:rsidR="00E71105">
        <w:rPr>
          <w:b w:val="0"/>
          <w:sz w:val="24"/>
          <w:szCs w:val="24"/>
        </w:rPr>
        <w:t> :</w:t>
      </w:r>
    </w:p>
    <w:p w:rsid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Vous </w:t>
      </w:r>
      <w:r w:rsidR="000568B8">
        <w:rPr>
          <w:b w:val="0"/>
          <w:sz w:val="24"/>
          <w:szCs w:val="24"/>
        </w:rPr>
        <w:t>assurer de la disponibilité des N+1</w:t>
      </w:r>
      <w:r w:rsidR="00E71105">
        <w:rPr>
          <w:b w:val="0"/>
          <w:sz w:val="24"/>
          <w:szCs w:val="24"/>
        </w:rPr>
        <w:t>,</w:t>
      </w:r>
    </w:p>
    <w:p w:rsidR="00E71105" w:rsidRP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E71105">
        <w:rPr>
          <w:b w:val="0"/>
          <w:sz w:val="24"/>
          <w:szCs w:val="24"/>
        </w:rPr>
        <w:t xml:space="preserve">réparer </w:t>
      </w:r>
      <w:r w:rsidR="00E71105" w:rsidRPr="00E71105">
        <w:rPr>
          <w:b w:val="0"/>
          <w:sz w:val="24"/>
          <w:szCs w:val="24"/>
        </w:rPr>
        <w:t xml:space="preserve">les formulaires de tour HSE (IGP, </w:t>
      </w:r>
      <w:proofErr w:type="spellStart"/>
      <w:r w:rsidR="00E71105" w:rsidRPr="00E71105">
        <w:rPr>
          <w:b w:val="0"/>
          <w:sz w:val="24"/>
          <w:szCs w:val="24"/>
        </w:rPr>
        <w:t>Safety</w:t>
      </w:r>
      <w:proofErr w:type="spellEnd"/>
      <w:r w:rsidR="00E71105" w:rsidRPr="00E71105">
        <w:rPr>
          <w:b w:val="0"/>
          <w:sz w:val="24"/>
          <w:szCs w:val="24"/>
        </w:rPr>
        <w:t xml:space="preserve"> </w:t>
      </w:r>
      <w:r w:rsidR="009C33AC" w:rsidRPr="00E71105">
        <w:rPr>
          <w:b w:val="0"/>
          <w:sz w:val="24"/>
          <w:szCs w:val="24"/>
        </w:rPr>
        <w:t>tour…</w:t>
      </w:r>
      <w:r w:rsidR="00E71105" w:rsidRPr="00E71105">
        <w:rPr>
          <w:b w:val="0"/>
          <w:sz w:val="24"/>
          <w:szCs w:val="24"/>
        </w:rPr>
        <w:t>)</w:t>
      </w:r>
      <w:r w:rsidR="009C33AC">
        <w:rPr>
          <w:b w:val="0"/>
          <w:sz w:val="24"/>
          <w:szCs w:val="24"/>
        </w:rPr>
        <w:t>,</w:t>
      </w:r>
    </w:p>
    <w:p w:rsidR="000568B8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E71105">
        <w:rPr>
          <w:b w:val="0"/>
          <w:sz w:val="24"/>
          <w:szCs w:val="24"/>
        </w:rPr>
        <w:t>réparer</w:t>
      </w:r>
      <w:r w:rsidR="000568B8">
        <w:rPr>
          <w:b w:val="0"/>
          <w:sz w:val="24"/>
          <w:szCs w:val="24"/>
        </w:rPr>
        <w:t xml:space="preserve"> des organigrammes des équipes HSE, si possible avec trombinoscope</w:t>
      </w:r>
      <w:r w:rsidR="00E71105">
        <w:rPr>
          <w:b w:val="0"/>
          <w:sz w:val="24"/>
          <w:szCs w:val="24"/>
        </w:rPr>
        <w:t xml:space="preserve"> pour le workshop en fin de visite</w:t>
      </w:r>
    </w:p>
    <w:p w:rsidR="00786051" w:rsidRPr="002348B4" w:rsidRDefault="009B0A85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2348B4">
        <w:rPr>
          <w:b w:val="0"/>
          <w:sz w:val="24"/>
          <w:szCs w:val="24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2348B4" w:rsidRDefault="002D1AD9" w:rsidP="009B0A85">
      <w:pPr>
        <w:pStyle w:val="Sous-titre"/>
      </w:pPr>
      <w:r w:rsidRPr="002348B4">
        <w:lastRenderedPageBreak/>
        <w:t>Suggestion de d</w:t>
      </w:r>
      <w:r w:rsidR="00AA35BC" w:rsidRPr="002348B4">
        <w:t xml:space="preserve">éroulement de la </w:t>
      </w:r>
      <w:r w:rsidR="00FB5BEF" w:rsidRPr="002348B4">
        <w:t>séquence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  <w:lang w:val="fr-FR"/>
        </w:rPr>
      </w:pPr>
      <w:r w:rsidRPr="002348B4">
        <w:rPr>
          <w:rFonts w:ascii="Arial" w:hAnsi="Arial" w:cs="Arial"/>
          <w:u w:val="single"/>
          <w:lang w:val="fr-FR"/>
        </w:rPr>
        <w:t xml:space="preserve">Légende </w:t>
      </w:r>
      <w:r w:rsidR="00B52D9F" w:rsidRPr="002348B4">
        <w:rPr>
          <w:rFonts w:ascii="Arial" w:hAnsi="Arial" w:cs="Arial"/>
          <w:u w:val="single"/>
          <w:lang w:val="fr-FR"/>
        </w:rPr>
        <w:t>des instructions pour l’animateur</w:t>
      </w:r>
      <w:r w:rsidR="00786051" w:rsidRPr="002348B4">
        <w:rPr>
          <w:rFonts w:ascii="Arial" w:hAnsi="Arial" w:cs="Arial"/>
          <w:u w:val="single"/>
          <w:lang w:val="fr-FR"/>
        </w:rPr>
        <w:t xml:space="preserve"> </w:t>
      </w:r>
      <w:r w:rsidRPr="002348B4">
        <w:rPr>
          <w:rFonts w:ascii="Arial" w:hAnsi="Arial" w:cs="Arial"/>
          <w:u w:val="single"/>
          <w:lang w:val="fr-FR"/>
        </w:rPr>
        <w:t>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  <w:lang w:val="fr-FR"/>
        </w:rPr>
      </w:pPr>
      <w:r w:rsidRPr="002348B4">
        <w:rPr>
          <w:rFonts w:ascii="Arial" w:hAnsi="Arial" w:cs="Arial"/>
          <w:sz w:val="20"/>
          <w:szCs w:val="20"/>
          <w:highlight w:val="yellow"/>
          <w:lang w:val="fr-FR"/>
        </w:rPr>
        <w:t>Commentaires pour l’animateur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  <w:lang w:val="fr-FR"/>
        </w:rPr>
      </w:pPr>
      <w:r w:rsidRPr="002348B4">
        <w:rPr>
          <w:rFonts w:ascii="Arial" w:hAnsi="Arial" w:cs="Arial"/>
          <w:sz w:val="20"/>
          <w:szCs w:val="20"/>
          <w:lang w:val="fr-FR"/>
        </w:rPr>
        <w:t>Eléments clé de contenu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b/>
          <w:sz w:val="20"/>
          <w:szCs w:val="20"/>
          <w:lang w:val="fr-FR"/>
        </w:rPr>
        <w:t>Type d’activité</w:t>
      </w:r>
    </w:p>
    <w:p w:rsidR="002D1AD9" w:rsidRPr="002348B4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i/>
          <w:sz w:val="20"/>
          <w:szCs w:val="20"/>
          <w:lang w:val="fr-FR"/>
        </w:rPr>
        <w:t>« </w:t>
      </w:r>
      <w:r w:rsidR="00B52D9F" w:rsidRPr="002348B4">
        <w:rPr>
          <w:rFonts w:ascii="Arial" w:hAnsi="Arial" w:cs="Arial"/>
          <w:i/>
          <w:sz w:val="20"/>
          <w:szCs w:val="20"/>
          <w:lang w:val="fr-FR"/>
        </w:rPr>
        <w:t>Question à poser</w:t>
      </w:r>
      <w:r w:rsidRPr="002348B4">
        <w:rPr>
          <w:rFonts w:ascii="Arial" w:hAnsi="Arial" w:cs="Arial"/>
          <w:i/>
          <w:sz w:val="20"/>
          <w:szCs w:val="20"/>
          <w:lang w:val="fr-FR"/>
        </w:rPr>
        <w:t> » / énoncé de consigne</w:t>
      </w:r>
    </w:p>
    <w:p w:rsidR="00FB5BEF" w:rsidRPr="002348B4" w:rsidRDefault="00FB5BEF" w:rsidP="00AA35BC">
      <w:pPr>
        <w:rPr>
          <w:rFonts w:ascii="Arial" w:hAnsi="Arial" w:cs="Arial"/>
          <w:lang w:val="fr-F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406"/>
        <w:gridCol w:w="5848"/>
      </w:tblGrid>
      <w:tr w:rsidR="00786051" w:rsidRPr="002534E6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B4A42">
              <w:rPr>
                <w:rFonts w:ascii="Arial" w:hAnsi="Arial" w:cs="Arial"/>
                <w:sz w:val="20"/>
                <w:szCs w:val="20"/>
              </w:rPr>
              <w:t>Visite du site</w:t>
            </w:r>
          </w:p>
          <w:p w:rsidR="003648B3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 / 3h30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Annoncez aux participants que vous allez réaliser ensemble un tour HSE. L’objectif est d’attirer leur attention sur le comportement HSE à tenir et d’identifier les lieux clé</w:t>
            </w:r>
            <w:r w:rsidR="00A97F54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du site en HSE.</w:t>
            </w:r>
          </w:p>
          <w:p w:rsidR="005B4A42" w:rsidRPr="005B4A42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Commencez</w:t>
            </w:r>
            <w:r w:rsidR="005B4A42" w:rsidRPr="005B4A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 la vérification des EPI.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Vérifiez que les participants ont tous leur livret des règles d’or</w:t>
            </w:r>
            <w:r w:rsidR="000215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 leur Stop Card</w:t>
            </w: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Distribuez les formulaires de tour HSE (IGP, </w:t>
            </w:r>
            <w:proofErr w:type="spellStart"/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Safety</w:t>
            </w:r>
            <w:proofErr w:type="spellEnd"/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C33AC" w:rsidRPr="005B4A42">
              <w:rPr>
                <w:rFonts w:ascii="Arial" w:hAnsi="Arial" w:cs="Arial"/>
                <w:sz w:val="20"/>
                <w:szCs w:val="20"/>
                <w:highlight w:val="yellow"/>
              </w:rPr>
              <w:t>tour…</w:t>
            </w: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), et rappelez les principes de réalisation.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Commencez la visite.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Allez</w:t>
            </w:r>
            <w:r w:rsidR="005B4A42">
              <w:rPr>
                <w:rFonts w:ascii="Arial" w:hAnsi="Arial" w:cs="Arial"/>
                <w:sz w:val="20"/>
                <w:szCs w:val="20"/>
                <w:lang w:val="fr-FR"/>
              </w:rPr>
              <w:t xml:space="preserve"> voir les principaux membres des équipes HSE (typiquement : leader des équipes d’intervention, ingénieurs HSE, </w:t>
            </w:r>
            <w:proofErr w:type="spellStart"/>
            <w:r w:rsidR="005B4A42">
              <w:rPr>
                <w:rFonts w:ascii="Arial" w:hAnsi="Arial" w:cs="Arial"/>
                <w:sz w:val="20"/>
                <w:szCs w:val="20"/>
                <w:lang w:val="fr-FR"/>
              </w:rPr>
              <w:t>médic</w:t>
            </w:r>
            <w:proofErr w:type="spellEnd"/>
            <w:r w:rsidR="005B4A42">
              <w:rPr>
                <w:rFonts w:ascii="Arial" w:hAnsi="Arial" w:cs="Arial"/>
                <w:sz w:val="20"/>
                <w:szCs w:val="20"/>
                <w:lang w:val="fr-FR"/>
              </w:rPr>
              <w:t>, superintendants, …) 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demandez- leur </w:t>
            </w:r>
            <w:r w:rsidR="005B4A42">
              <w:rPr>
                <w:rFonts w:ascii="Arial" w:hAnsi="Arial" w:cs="Arial"/>
                <w:sz w:val="20"/>
                <w:szCs w:val="20"/>
                <w:lang w:val="fr-FR"/>
              </w:rPr>
              <w:t>de se présenter et de décrire leurs rôles sur le site.</w:t>
            </w:r>
          </w:p>
          <w:p w:rsidR="005B4A42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4A42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Mentionnez</w:t>
            </w:r>
            <w:r w:rsidR="00A05D13">
              <w:rPr>
                <w:rFonts w:ascii="Arial" w:hAnsi="Arial" w:cs="Arial"/>
                <w:sz w:val="20"/>
                <w:szCs w:val="20"/>
              </w:rPr>
              <w:t xml:space="preserve"> également les</w:t>
            </w:r>
            <w:r w:rsidR="005B4A42">
              <w:rPr>
                <w:rFonts w:ascii="Arial" w:hAnsi="Arial" w:cs="Arial"/>
                <w:sz w:val="20"/>
                <w:szCs w:val="20"/>
              </w:rPr>
              <w:t xml:space="preserve"> responsabilités HSE qui ne sont pas portées par les autres opérationnels, (ex : gestion de crises, champions de processus Maestro, RSES, etc.)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 la fin de la visite, faites une synthèse en salle avec les participants sur ce qu’ils ont </w:t>
            </w:r>
            <w:r w:rsidR="007111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trouvé étonnant et intéressant. Demandez s’ils ont relevé </w:t>
            </w:r>
            <w:r w:rsidRPr="005B4A42">
              <w:rPr>
                <w:rFonts w:ascii="Arial" w:hAnsi="Arial" w:cs="Arial"/>
                <w:sz w:val="20"/>
                <w:szCs w:val="20"/>
                <w:highlight w:val="yellow"/>
              </w:rPr>
              <w:t>des anomalies.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8605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11158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2h30 / 4h00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Organisez des paires et </w:t>
            </w:r>
            <w:r w:rsidR="000648B1" w:rsidRPr="000648B1">
              <w:rPr>
                <w:rFonts w:ascii="Arial" w:hAnsi="Arial" w:cs="Arial"/>
                <w:sz w:val="20"/>
                <w:szCs w:val="20"/>
                <w:highlight w:val="yellow"/>
              </w:rPr>
              <w:t>énoncez</w:t>
            </w:r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principe de </w:t>
            </w:r>
            <w:r w:rsidR="009C33AC">
              <w:rPr>
                <w:rFonts w:ascii="Arial" w:hAnsi="Arial" w:cs="Arial"/>
                <w:sz w:val="20"/>
                <w:szCs w:val="20"/>
                <w:highlight w:val="yellow"/>
              </w:rPr>
              <w:t>l’exercice</w:t>
            </w:r>
            <w:r w:rsidR="009C33AC"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:</w:t>
            </w:r>
          </w:p>
          <w:p w:rsidR="000648B1" w:rsidRPr="009C33AC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9C33AC">
              <w:rPr>
                <w:rFonts w:ascii="Arial" w:hAnsi="Arial" w:cs="Arial"/>
                <w:i/>
                <w:sz w:val="20"/>
                <w:szCs w:val="20"/>
              </w:rPr>
              <w:t>« Il s’agit de décrire</w:t>
            </w:r>
            <w:r w:rsidR="00D23EC7" w:rsidRPr="009C33AC">
              <w:rPr>
                <w:rFonts w:ascii="Arial" w:hAnsi="Arial" w:cs="Arial"/>
                <w:i/>
                <w:sz w:val="20"/>
                <w:szCs w:val="20"/>
              </w:rPr>
              <w:t xml:space="preserve"> ce </w:t>
            </w:r>
            <w:r w:rsidRPr="009C33AC">
              <w:rPr>
                <w:rFonts w:ascii="Arial" w:hAnsi="Arial" w:cs="Arial"/>
                <w:i/>
                <w:sz w:val="20"/>
                <w:szCs w:val="20"/>
              </w:rPr>
              <w:t>que vous avez</w:t>
            </w:r>
            <w:r w:rsidR="00D23EC7" w:rsidRPr="009C33AC">
              <w:rPr>
                <w:rFonts w:ascii="Arial" w:hAnsi="Arial" w:cs="Arial"/>
                <w:i/>
                <w:sz w:val="20"/>
                <w:szCs w:val="20"/>
              </w:rPr>
              <w:t xml:space="preserve"> retenu des activités des membres des équipes HSE.</w:t>
            </w:r>
            <w:r w:rsidRPr="009C33AC">
              <w:rPr>
                <w:rFonts w:ascii="Arial" w:hAnsi="Arial" w:cs="Arial"/>
                <w:i/>
                <w:sz w:val="20"/>
                <w:szCs w:val="20"/>
              </w:rPr>
              <w:t xml:space="preserve"> L’objectif est que vous soyez capables de dire qui fait quoi »</w:t>
            </w:r>
          </w:p>
          <w:p w:rsidR="00711158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Assurez-vous que c’est clair pour tout le monde, et d</w:t>
            </w:r>
            <w:r w:rsidR="00711158" w:rsidRPr="000648B1">
              <w:rPr>
                <w:rFonts w:ascii="Arial" w:hAnsi="Arial" w:cs="Arial"/>
                <w:sz w:val="20"/>
                <w:szCs w:val="20"/>
                <w:highlight w:val="yellow"/>
              </w:rPr>
              <w:t>istribuez un organigramme (si possible avec un trombinoscope) des équipes HSE.</w:t>
            </w:r>
          </w:p>
          <w:p w:rsidR="000648B1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 au</w:t>
            </w:r>
            <w:r w:rsidR="000648B1">
              <w:rPr>
                <w:rFonts w:ascii="Arial" w:hAnsi="Arial" w:cs="Arial"/>
                <w:sz w:val="20"/>
                <w:szCs w:val="20"/>
              </w:rPr>
              <w:t xml:space="preserve"> tableau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Organisez les discussions entre les groupes, de façon à ce que les activités </w:t>
            </w:r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soient décrites le mieux possible, puis complétez si besoin.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65742" w:rsidRPr="002348B4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0648B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0648B1" w:rsidRPr="002348B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shadowing</w:t>
            </w:r>
            <w:proofErr w:type="spellEnd"/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Enfin, si l’organisation le permet, organisez le planning de la journée de </w:t>
            </w:r>
            <w:proofErr w:type="spellStart"/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>shadowing</w:t>
            </w:r>
            <w:proofErr w:type="spellEnd"/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 donnez les consignes sur ce que le participant aura à faire pendant cette journée :</w:t>
            </w: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Suivre le responsable dans toutes ses actions, le questionner sur son rôle, si possible l’assister sur des tâches HSE et enfin décrire sa fiche Terrain.</w:t>
            </w:r>
          </w:p>
          <w:p w:rsidR="000648B1" w:rsidRPr="000648B1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Assurez-vous </w:t>
            </w:r>
            <w:r w:rsidR="00EA4FA6">
              <w:rPr>
                <w:rFonts w:ascii="Arial" w:hAnsi="Arial" w:cs="Arial"/>
                <w:sz w:val="20"/>
                <w:szCs w:val="20"/>
                <w:highlight w:val="yellow"/>
              </w:rPr>
              <w:t>que la c</w:t>
            </w:r>
            <w:r w:rsidR="00A97F54">
              <w:rPr>
                <w:rFonts w:ascii="Arial" w:hAnsi="Arial" w:cs="Arial"/>
                <w:sz w:val="20"/>
                <w:szCs w:val="20"/>
                <w:highlight w:val="yellow"/>
              </w:rPr>
              <w:t>onsigne est bien claire et fixez</w:t>
            </w:r>
            <w:r w:rsidR="00785D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une date de </w:t>
            </w:r>
            <w:r w:rsidR="009C33AC">
              <w:rPr>
                <w:rFonts w:ascii="Arial" w:hAnsi="Arial" w:cs="Arial"/>
                <w:sz w:val="20"/>
                <w:szCs w:val="20"/>
                <w:highlight w:val="yellow"/>
              </w:rPr>
              <w:t>débriefing</w:t>
            </w:r>
            <w:r w:rsidR="00EA4FA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collectif</w:t>
            </w:r>
            <w:r w:rsidR="0069004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précisant que </w:t>
            </w:r>
            <w:r w:rsidR="0069004C" w:rsidRPr="000648B1">
              <w:rPr>
                <w:rFonts w:ascii="Arial" w:hAnsi="Arial" w:cs="Arial"/>
                <w:sz w:val="20"/>
                <w:szCs w:val="20"/>
                <w:highlight w:val="yellow"/>
              </w:rPr>
              <w:t>chacun présente</w:t>
            </w:r>
            <w:r w:rsidR="0069004C">
              <w:rPr>
                <w:rFonts w:ascii="Arial" w:hAnsi="Arial" w:cs="Arial"/>
                <w:sz w:val="20"/>
                <w:szCs w:val="20"/>
                <w:highlight w:val="yellow"/>
              </w:rPr>
              <w:t>ra</w:t>
            </w:r>
            <w:r w:rsidR="0069004C" w:rsidRPr="000648B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la personne qu’il a suivi</w:t>
            </w:r>
            <w:r w:rsidR="00A97F54">
              <w:rPr>
                <w:rFonts w:ascii="Arial" w:hAnsi="Arial" w:cs="Arial"/>
                <w:sz w:val="20"/>
                <w:szCs w:val="20"/>
                <w:highlight w:val="yellow"/>
              </w:rPr>
              <w:t>e.</w:t>
            </w:r>
          </w:p>
          <w:p w:rsidR="00785D6F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D6F" w:rsidRPr="00785D6F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85D6F">
              <w:rPr>
                <w:rFonts w:ascii="Arial" w:hAnsi="Arial" w:cs="Arial"/>
                <w:sz w:val="20"/>
                <w:szCs w:val="20"/>
                <w:highlight w:val="yellow"/>
              </w:rPr>
              <w:t>Au f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inal, préciser</w:t>
            </w:r>
            <w:r w:rsidRPr="00785D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 déroulement de débriefing :</w:t>
            </w:r>
            <w:r w:rsidRPr="00785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8B1" w:rsidRPr="00143F7E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143F7E">
              <w:rPr>
                <w:rFonts w:ascii="Arial" w:hAnsi="Arial" w:cs="Arial"/>
                <w:sz w:val="20"/>
                <w:szCs w:val="20"/>
              </w:rPr>
              <w:t>Le débriefing consiste à expliquer comment s’est passée la journée de « </w:t>
            </w:r>
            <w:proofErr w:type="spellStart"/>
            <w:r w:rsidRPr="00143F7E">
              <w:rPr>
                <w:rFonts w:ascii="Arial" w:hAnsi="Arial" w:cs="Arial"/>
                <w:sz w:val="20"/>
                <w:szCs w:val="20"/>
              </w:rPr>
              <w:t>shadowing</w:t>
            </w:r>
            <w:proofErr w:type="spellEnd"/>
            <w:r w:rsidRPr="00143F7E">
              <w:rPr>
                <w:rFonts w:ascii="Arial" w:hAnsi="Arial" w:cs="Arial"/>
                <w:sz w:val="20"/>
                <w:szCs w:val="20"/>
              </w:rPr>
              <w:t> » et expliquer la fiche terrain des collaborateurs suivis aux autres participants et à l’animateur. Chacun aura entre 10 et 15 minutes pour faire sa présentation.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A5B9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La fiche « Terrain » : </w:t>
            </w:r>
          </w:p>
          <w:p w:rsidR="00021542" w:rsidRPr="000A5B91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5B91">
              <w:rPr>
                <w:rFonts w:ascii="Arial" w:hAnsi="Arial" w:cs="Arial"/>
                <w:sz w:val="20"/>
                <w:szCs w:val="20"/>
                <w:lang w:val="fr-FR"/>
              </w:rPr>
              <w:t>Quelle est sa mission (de quoi est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-il chargé) ?</w:t>
            </w:r>
            <w:r w:rsidRPr="000A5B9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5B91">
              <w:rPr>
                <w:rFonts w:ascii="Arial" w:hAnsi="Arial" w:cs="Arial"/>
                <w:sz w:val="20"/>
                <w:szCs w:val="20"/>
                <w:lang w:val="fr-FR"/>
              </w:rPr>
              <w:t>Quel</w:t>
            </w:r>
            <w:r w:rsidR="009C33AC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0A5B91">
              <w:rPr>
                <w:rFonts w:ascii="Arial" w:hAnsi="Arial" w:cs="Arial"/>
                <w:sz w:val="20"/>
                <w:szCs w:val="20"/>
                <w:lang w:val="fr-FR"/>
              </w:rPr>
              <w:t>s sont ses fonctions et activités princi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pales ?</w:t>
            </w:r>
            <w:r w:rsidRPr="000A5B9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648B1">
              <w:rPr>
                <w:rFonts w:ascii="Arial" w:hAnsi="Arial" w:cs="Arial"/>
                <w:sz w:val="20"/>
                <w:szCs w:val="20"/>
                <w:lang w:val="fr-FR"/>
              </w:rPr>
              <w:t>Quels sont ses objectifs (quels sont les résultats qu’il doit atteindre dans un délai donné) ?</w:t>
            </w:r>
          </w:p>
          <w:p w:rsidR="000648B1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85D6F" w:rsidRPr="002534E6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Débriefing</w:t>
            </w:r>
            <w:r w:rsidR="00785D6F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="00021542">
              <w:rPr>
                <w:rFonts w:ascii="Arial" w:hAnsi="Arial" w:cs="Arial"/>
                <w:sz w:val="20"/>
                <w:szCs w:val="20"/>
              </w:rPr>
              <w:t>Shadowing</w:t>
            </w:r>
            <w:proofErr w:type="spellEnd"/>
          </w:p>
          <w:p w:rsidR="00021542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à 15 minutes par participant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 la date prévue, organisez le passage des participants pour qu’ils procèdent à la présentation de la personne qu’ils ont suivie. </w:t>
            </w:r>
          </w:p>
          <w:p w:rsidR="00021542" w:rsidRPr="000648B1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Cette présentation peut se faire de plusieurs manières (à l’oral avec un PowerPoint par exemple) mais doit contenir les informations de la fiche terrain réalisée.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21AE6" w:rsidRPr="002348B4" w:rsidRDefault="00B21AE6" w:rsidP="00021542">
      <w:pPr>
        <w:outlineLvl w:val="0"/>
        <w:rPr>
          <w:rFonts w:ascii="Arial" w:hAnsi="Arial" w:cs="Arial"/>
          <w:lang w:val="fr-FR"/>
        </w:rPr>
      </w:pPr>
    </w:p>
    <w:sectPr w:rsidR="00B21AE6" w:rsidRPr="002348B4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2B" w:rsidRDefault="00015E2B">
      <w:r>
        <w:separator/>
      </w:r>
    </w:p>
  </w:endnote>
  <w:endnote w:type="continuationSeparator" w:id="0">
    <w:p w:rsidR="00015E2B" w:rsidRDefault="0001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4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34E6" w:rsidRDefault="002534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3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34E6" w:rsidRDefault="002534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2B" w:rsidRDefault="00015E2B">
      <w:r>
        <w:separator/>
      </w:r>
    </w:p>
  </w:footnote>
  <w:footnote w:type="continuationSeparator" w:id="0">
    <w:p w:rsidR="00015E2B" w:rsidRDefault="0001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3A3EAA">
            <w:rPr>
              <w:rFonts w:ascii="Helvetica" w:eastAsia="Times New Roman" w:hAnsi="Helvetica"/>
              <w:color w:val="004164"/>
              <w:szCs w:val="32"/>
            </w:rPr>
            <w:t>3</w:t>
          </w:r>
          <w:r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4E2C4C">
            <w:rPr>
              <w:rFonts w:ascii="Helvetica" w:eastAsia="Times New Roman" w:hAnsi="Helvetica"/>
              <w:color w:val="004164"/>
              <w:szCs w:val="32"/>
            </w:rPr>
            <w:t>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3.3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FFC03-79B0-4949-A526-F11C04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53</cp:revision>
  <cp:lastPrinted>2016-08-08T12:58:00Z</cp:lastPrinted>
  <dcterms:created xsi:type="dcterms:W3CDTF">2016-08-08T14:38:00Z</dcterms:created>
  <dcterms:modified xsi:type="dcterms:W3CDTF">2017-03-22T09:01:00Z</dcterms:modified>
</cp:coreProperties>
</file>