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Proceso REX de su planta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F446C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F446C3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F258E0" w:rsidRPr="00F446C3" w:rsidRDefault="0051527D" w:rsidP="00A10B3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Al final de la secuencia, los participantes:</w:t>
            </w:r>
          </w:p>
          <w:p w:rsidR="00EB6A78" w:rsidRPr="00F446C3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Han entendido la relación entre el REX de HSE y las medidas que deben implantarse in situ</w:t>
            </w:r>
          </w:p>
          <w:p w:rsidR="00D230DC" w:rsidRPr="00F446C3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Han constatado, in situ, que se tienen en cuenta las medidas resultantes del REX de la planta.</w:t>
            </w:r>
          </w:p>
        </w:tc>
      </w:tr>
    </w:tbl>
    <w:p w:rsidR="002A78CD" w:rsidRPr="00F446C3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8230E3" w:rsidRPr="00F446C3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Esta secuencia debe realizarse a escala local. Para ello, hay dos posibilidades a su disposición: </w:t>
      </w:r>
    </w:p>
    <w:p w:rsidR="008230E3" w:rsidRPr="00F446C3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ya existe una formación a nivel local (o rama) que responde a estos objetivos. En ese caso, puede utilizarse en lugar de este módulo.</w:t>
      </w:r>
    </w:p>
    <w:p w:rsidR="00A068EE" w:rsidRPr="00F446C3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en caso contrario, es necesario crear su propia formación siguiendo las siguientes sugerencias.</w:t>
      </w:r>
    </w:p>
    <w:p w:rsidR="00A10B3D" w:rsidRPr="00F446C3" w:rsidRDefault="00A10B3D">
      <w:pPr>
        <w:pStyle w:val="Corps"/>
        <w:rPr>
          <w:rFonts w:ascii="Arial" w:hAnsi="Arial" w:cs="Arial"/>
          <w:lang w:val="es-AR"/>
        </w:rPr>
      </w:pPr>
    </w:p>
    <w:p w:rsidR="00B21AE6" w:rsidRPr="00F446C3" w:rsidRDefault="00A10B3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Este documento contiene sugerencias de contenido y actividades pedagógicas que permiten alcanzar los objetivos de este módulo.</w:t>
      </w:r>
    </w:p>
    <w:p w:rsidR="00A10B3D" w:rsidRPr="00F446C3" w:rsidRDefault="00A10B3D">
      <w:pPr>
        <w:pStyle w:val="Corps"/>
        <w:rPr>
          <w:rFonts w:ascii="Arial" w:hAnsi="Arial" w:cs="Arial"/>
          <w:b/>
          <w:lang w:val="es-AR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2348B4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Elementos clave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Documento/actividades</w:t>
            </w:r>
          </w:p>
        </w:tc>
      </w:tr>
      <w:tr w:rsidR="00BB0F83" w:rsidRPr="00F446C3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BB0F83" w:rsidRPr="00F446C3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El REX es uno de los procesos principales del Grupo (recordatorios)</w:t>
            </w:r>
          </w:p>
        </w:tc>
        <w:tc>
          <w:tcPr>
            <w:tcW w:w="2922" w:type="dxa"/>
            <w:vAlign w:val="center"/>
          </w:tcPr>
          <w:p w:rsidR="00BB0F83" w:rsidRPr="00F446C3" w:rsidRDefault="009F2432" w:rsidP="0079342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color w:val="auto"/>
                <w:lang w:val="es"/>
              </w:rPr>
              <w:t>Localizar el REX en la política del Grupo</w:t>
            </w:r>
          </w:p>
        </w:tc>
      </w:tr>
      <w:tr w:rsidR="00EE3414" w:rsidRPr="00F446C3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E3414" w:rsidRPr="00F446C3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El REX es un documento consolidado de análisis que conduce a la definición de medidas que deben implantarse para evitar que se reproduzcan sucesos.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F446C3" w:rsidRDefault="00EE3414" w:rsidP="00EE3414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Presentación de DIR_GR_SEC_017</w:t>
            </w:r>
          </w:p>
        </w:tc>
      </w:tr>
      <w:tr w:rsidR="00EE3414" w:rsidRPr="00F446C3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E3414" w:rsidRPr="00F446C3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La difusión del REX, la implantación de medidas y su mantenimiento son primordiales para contribuir a la mejora continua de la seguridad.</w:t>
            </w:r>
          </w:p>
        </w:tc>
        <w:tc>
          <w:tcPr>
            <w:tcW w:w="2922" w:type="dxa"/>
            <w:vMerge/>
            <w:vAlign w:val="center"/>
          </w:tcPr>
          <w:p w:rsidR="00EE3414" w:rsidRPr="00F446C3" w:rsidRDefault="00EE3414" w:rsidP="0009391D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</w:p>
        </w:tc>
      </w:tr>
      <w:tr w:rsidR="008B13D2" w:rsidRPr="00F446C3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8B13D2" w:rsidRPr="00F446C3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El procedimiento REX de la planta es el procedimiento de referencia XXXXXX</w:t>
            </w:r>
          </w:p>
        </w:tc>
        <w:tc>
          <w:tcPr>
            <w:tcW w:w="2922" w:type="dxa"/>
            <w:vAlign w:val="center"/>
          </w:tcPr>
          <w:p w:rsidR="008B13D2" w:rsidRPr="00F446C3" w:rsidRDefault="009F2432" w:rsidP="00BB0F8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Lectura del procedimiento REX de la planta.</w:t>
            </w:r>
          </w:p>
        </w:tc>
      </w:tr>
      <w:tr w:rsidR="00A068EE" w:rsidRPr="00EB371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F446C3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Todos contribuyen teniendo en cuenta las medidas definidas en los últimos REX, asegurándose de que los demás empleados sean informados y participando en el análisis de sucesos (cuando proceda).</w:t>
            </w:r>
          </w:p>
        </w:tc>
        <w:tc>
          <w:tcPr>
            <w:tcW w:w="2922" w:type="dxa"/>
            <w:vAlign w:val="center"/>
          </w:tcPr>
          <w:p w:rsidR="00A068EE" w:rsidRPr="002348B4" w:rsidRDefault="009F2432" w:rsidP="00BB0F8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Lectura de un REX de la planta</w:t>
            </w:r>
          </w:p>
        </w:tc>
      </w:tr>
      <w:tr w:rsidR="0020133E" w:rsidRPr="00F446C3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02707" w:rsidRPr="00F446C3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es"/>
              </w:rPr>
              <w:t>Indicarles dónde están puestos los REX</w:t>
            </w:r>
          </w:p>
        </w:tc>
        <w:tc>
          <w:tcPr>
            <w:tcW w:w="2922" w:type="dxa"/>
            <w:vAlign w:val="center"/>
          </w:tcPr>
          <w:p w:rsidR="00E02707" w:rsidRPr="00F446C3" w:rsidRDefault="00E02707" w:rsidP="00BB0F8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AR"/>
              </w:rPr>
            </w:pPr>
          </w:p>
        </w:tc>
      </w:tr>
    </w:tbl>
    <w:p w:rsidR="00B21AE6" w:rsidRPr="00F446C3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AR"/>
        </w:rPr>
      </w:pPr>
    </w:p>
    <w:p w:rsidR="005A3E1E" w:rsidRPr="00F446C3" w:rsidRDefault="00346BD6" w:rsidP="0051527D">
      <w:pPr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6F3BF4" w:rsidRPr="00F446C3" w:rsidRDefault="00D11427" w:rsidP="005A3E1E">
      <w:pPr>
        <w:spacing w:before="120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lang w:val="es"/>
        </w:rPr>
        <w:t>1</w:t>
      </w:r>
      <w:r w:rsidR="00F446C3">
        <w:rPr>
          <w:rFonts w:ascii="Arial" w:hAnsi="Arial" w:cs="Arial"/>
          <w:lang w:val="es"/>
        </w:rPr>
        <w:t>:30</w:t>
      </w:r>
      <w:r>
        <w:rPr>
          <w:rFonts w:ascii="Arial" w:hAnsi="Arial" w:cs="Arial"/>
          <w:lang w:val="es"/>
        </w:rPr>
        <w:t xml:space="preserve"> h min en sala, media jornada en la planta, más 30 minutos de análisis.</w:t>
      </w:r>
    </w:p>
    <w:p w:rsidR="00284F7B" w:rsidRPr="00F446C3" w:rsidRDefault="00284F7B" w:rsidP="0051527D">
      <w:pPr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5A3E1E" w:rsidRPr="00F446C3" w:rsidRDefault="00A068EE" w:rsidP="0051527D">
      <w:pPr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>Recomendaciones sobre las modalidades pedagógicas:</w:t>
      </w:r>
    </w:p>
    <w:p w:rsidR="00A068EE" w:rsidRPr="00F446C3" w:rsidRDefault="00E11D25" w:rsidP="00786051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Presentación presencial del REX de la planta + experimentación in situ (media jornada repartida en una o dos semanas) + análisis.</w:t>
      </w:r>
    </w:p>
    <w:p w:rsidR="009C60C8" w:rsidRPr="00F446C3" w:rsidRDefault="005945E9" w:rsidP="00786051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lastRenderedPageBreak/>
        <w:t>La parte presencial de este módulo así como su análisis se pueden fusionar con los del TCAS 4.2.</w:t>
      </w:r>
    </w:p>
    <w:p w:rsidR="009C60C8" w:rsidRPr="00F446C3" w:rsidRDefault="00FB5BEF" w:rsidP="009B0A85">
      <w:pPr>
        <w:pStyle w:val="Sous-titre"/>
        <w:rPr>
          <w:lang w:val="es-AR"/>
        </w:rPr>
      </w:pPr>
      <w:r>
        <w:rPr>
          <w:bCs/>
          <w:lang w:val="es"/>
        </w:rPr>
        <w:t>Módulos requeridos antes de la secuencia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Todo el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FB5BEF" w:rsidRPr="002348B4" w:rsidRDefault="00FB5BEF" w:rsidP="009B0A85">
      <w:pPr>
        <w:pStyle w:val="Sous-titre"/>
      </w:pPr>
      <w:r>
        <w:rPr>
          <w:bCs/>
          <w:lang w:val="es"/>
        </w:rPr>
        <w:t>Preparación de la secuencia</w:t>
      </w:r>
    </w:p>
    <w:p w:rsidR="00013008" w:rsidRPr="00F446C3" w:rsidRDefault="009B0A85" w:rsidP="009B0A85">
      <w:p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Antes de iniciar el módulo, le recomendamos:</w:t>
      </w:r>
    </w:p>
    <w:p w:rsidR="00013008" w:rsidRPr="00F446C3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seleccionar las experiencias adquiridas que vaya a utilizar durante este módulo.</w:t>
      </w:r>
    </w:p>
    <w:p w:rsidR="009B0A85" w:rsidRPr="00F446C3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elegir un informe de incidentes, una anomalía grave (situación degradada) o un HIPO que haya inducido a la implantación de un conjunto de medidas compensatorias o correctivas.</w:t>
      </w:r>
    </w:p>
    <w:p w:rsidR="002C70B2" w:rsidRPr="00F446C3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imprimir una selección de REX por participante. </w:t>
      </w:r>
    </w:p>
    <w:p w:rsidR="002C70B2" w:rsidRPr="00F446C3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imprimir un procedimiento REX de la planta por participante. </w:t>
      </w:r>
    </w:p>
    <w:p w:rsidR="002C70B2" w:rsidRPr="00F446C3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prever la presentación de DIR GR SEC 017 (los objetivos en diapositiva bastan).</w:t>
      </w:r>
    </w:p>
    <w:p w:rsidR="008F708A" w:rsidRPr="00F446C3" w:rsidRDefault="008F708A" w:rsidP="002C70B2">
      <w:pPr>
        <w:spacing w:before="120"/>
        <w:ind w:left="360"/>
        <w:rPr>
          <w:rFonts w:ascii="Arial" w:hAnsi="Arial" w:cs="Arial"/>
          <w:lang w:val="es-AR"/>
        </w:rPr>
      </w:pPr>
    </w:p>
    <w:p w:rsidR="002C70B2" w:rsidRPr="00F446C3" w:rsidRDefault="00996A0C" w:rsidP="00786051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Durante este módulo, se pedirá a los participantes que vayan a la planta para constatar concretamente la efectividad de estas medidas. Es importante que las medidas </w:t>
      </w:r>
      <w:proofErr w:type="gramStart"/>
      <w:r>
        <w:rPr>
          <w:rFonts w:ascii="Arial" w:hAnsi="Arial" w:cs="Arial"/>
          <w:lang w:val="es"/>
        </w:rPr>
        <w:t>definidas</w:t>
      </w:r>
      <w:proofErr w:type="gramEnd"/>
      <w:r>
        <w:rPr>
          <w:rFonts w:ascii="Arial" w:hAnsi="Arial" w:cs="Arial"/>
          <w:lang w:val="es"/>
        </w:rPr>
        <w:t xml:space="preserve"> sean fácilmente identificables por los participantes in situ (conjunto del personal al corriente de la evolución, cambio importante en la manera de proceder, nuevo equipamiento…). </w:t>
      </w:r>
    </w:p>
    <w:p w:rsidR="00786051" w:rsidRPr="00F446C3" w:rsidRDefault="00786051">
      <w:pPr>
        <w:rPr>
          <w:rFonts w:ascii="Arial" w:hAnsi="Arial" w:cs="Arial"/>
          <w:lang w:val="es-AR"/>
        </w:rPr>
      </w:pPr>
    </w:p>
    <w:p w:rsidR="00786051" w:rsidRPr="00F446C3" w:rsidRDefault="00786051" w:rsidP="00786051">
      <w:pPr>
        <w:pStyle w:val="Sous-titre"/>
        <w:ind w:left="714" w:hanging="357"/>
        <w:rPr>
          <w:lang w:val="es-AR"/>
        </w:rPr>
      </w:pPr>
      <w:r>
        <w:rPr>
          <w:bCs/>
          <w:lang w:val="es"/>
        </w:rPr>
        <w:t>Sobre la parte in situ y el informe esperado</w:t>
      </w:r>
    </w:p>
    <w:p w:rsidR="00786051" w:rsidRPr="00F446C3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  <w:lang w:val="es-AR"/>
        </w:rPr>
      </w:pPr>
    </w:p>
    <w:p w:rsidR="00786051" w:rsidRPr="00F446C3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t xml:space="preserve">Lo que deben comprobar los participantes con respecto a las medidas (compensatorias o correctivas), se limita a: </w:t>
      </w:r>
    </w:p>
    <w:p w:rsidR="00786051" w:rsidRPr="00F446C3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¿Están presentes como se han definido?</w:t>
      </w:r>
    </w:p>
    <w:p w:rsidR="00786051" w:rsidRPr="00F446C3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¿Los colaboradores que trabajan en las instalaciones implicadas y próximas están al corriente del REX y los cambios que se derivan?</w:t>
      </w:r>
    </w:p>
    <w:p w:rsidR="00786051" w:rsidRPr="00F446C3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  <w:lang w:val="es-AR"/>
        </w:rPr>
      </w:pPr>
    </w:p>
    <w:p w:rsidR="00A242C1" w:rsidRPr="00F446C3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t xml:space="preserve">Para los participantes de perfil más técnico y que trabajarán más tarde en la planta, un módulo del recorrido 3 les permite profundizar en el concepto de efectividad de las medidas y su adecuación con las condiciones actuales. </w:t>
      </w:r>
    </w:p>
    <w:p w:rsidR="00786051" w:rsidRPr="00F446C3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t>No es, por lo tanto, el objetivo de este módulo.</w:t>
      </w:r>
      <w:r>
        <w:rPr>
          <w:b w:val="0"/>
          <w:sz w:val="24"/>
          <w:szCs w:val="24"/>
          <w:lang w:val="es"/>
        </w:rPr>
        <w:br w:type="page"/>
      </w:r>
    </w:p>
    <w:p w:rsidR="00786051" w:rsidRPr="00F446C3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s-AR"/>
        </w:rPr>
        <w:sectPr w:rsidR="00786051" w:rsidRPr="00F446C3" w:rsidSect="00EB371E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F446C3" w:rsidRDefault="002D1AD9" w:rsidP="009B0A85">
      <w:pPr>
        <w:pStyle w:val="Sous-titre"/>
        <w:rPr>
          <w:lang w:val="es-AR"/>
        </w:rPr>
      </w:pPr>
      <w:r>
        <w:rPr>
          <w:bCs/>
          <w:lang w:val="es"/>
        </w:rPr>
        <w:lastRenderedPageBreak/>
        <w:t>Sugerencia de desarrollo de la secuencia</w:t>
      </w:r>
    </w:p>
    <w:p w:rsidR="002D1AD9" w:rsidRPr="00F446C3" w:rsidRDefault="002D1AD9" w:rsidP="002D1AD9">
      <w:pPr>
        <w:spacing w:before="120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F446C3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F446C3" w:rsidRDefault="00FB5BEF" w:rsidP="00AA35BC">
      <w:pPr>
        <w:rPr>
          <w:rFonts w:ascii="Arial" w:hAnsi="Arial" w:cs="Arial"/>
          <w:lang w:val="es-A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159"/>
        <w:gridCol w:w="6095"/>
      </w:tblGrid>
      <w:tr w:rsidR="00786051" w:rsidRPr="00F446C3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F446C3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F446C3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Introducción y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F446C3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Dar la bienvenida y presentar los objetivos de este módulo.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F446C3" w:rsidRDefault="00B52D9F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Diapositiva de presentación de los objetivos:</w:t>
            </w:r>
          </w:p>
          <w:p w:rsidR="00B52D9F" w:rsidRPr="00F446C3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Entender la relación entre el REX de HSE y las medidas que deben implantarse in situ.</w:t>
            </w:r>
          </w:p>
          <w:p w:rsidR="00B52D9F" w:rsidRPr="00F446C3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Constatar, in situ, que se tienen en cuenta las medidas resultantes del REX de la planta.</w:t>
            </w:r>
          </w:p>
        </w:tc>
      </w:tr>
      <w:tr w:rsidR="00786051" w:rsidRPr="00F446C3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2. Repaso del REX del Grupo y presentación del procedimiento de la planta. Introducción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15 min-&gt;20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F446C3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Preguntas a los participantes:</w:t>
            </w:r>
          </w:p>
          <w:p w:rsidR="00906888" w:rsidRPr="00F446C3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«¿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 xml:space="preserve">Quién puede recordarnos el principio del REX de Total? ¿Y su interés? </w:t>
            </w:r>
          </w:p>
          <w:p w:rsidR="00F65742" w:rsidRPr="00F446C3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¿De qué clases de sucesos se habla cuando se habla de REX de HSE?»</w:t>
            </w:r>
          </w:p>
          <w:p w:rsidR="00F65742" w:rsidRPr="00F446C3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A36D9" w:rsidRPr="00F446C3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Presentación de la directiva del Grupo</w:t>
            </w:r>
          </w:p>
          <w:p w:rsidR="00F65742" w:rsidRPr="00F446C3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 continuación, a guisa de resumen, hacer un repaso de lo que llamamos REX en el Grupo y su importancia.</w:t>
            </w:r>
          </w:p>
          <w:p w:rsidR="006E498E" w:rsidRPr="00F446C3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(Respuesta sobre los siguientes puntos: </w:t>
            </w:r>
          </w:p>
          <w:p w:rsidR="006E498E" w:rsidRPr="00F446C3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- la fuerza del Grupo es capturar todas las experiencias adquiridas. </w:t>
            </w:r>
          </w:p>
          <w:p w:rsidR="006E498E" w:rsidRPr="00F446C3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- El REX forma parte de la mejora continua y permite hacernos progresar y modificar nuestra práctica, normas (del referencial), </w:t>
            </w:r>
          </w:p>
          <w:p w:rsidR="006E498E" w:rsidRPr="00F446C3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- El REX y las auditorías permiten esta mejora continua.)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F446C3" w:rsidRDefault="00042527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42527" w:rsidRPr="00F446C3" w:rsidRDefault="00042527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1427" w:rsidRPr="00F446C3" w:rsidRDefault="00D11427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A36D9" w:rsidRPr="00F446C3" w:rsidRDefault="00DA36D9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4396E" w:rsidRPr="00F446C3" w:rsidRDefault="0084396E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F65742" w:rsidRPr="00F446C3" w:rsidRDefault="00F65742" w:rsidP="00DA36D9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Presentar brevemente los puntos clave de la directiva del Grupo como repaso (DIR GR SEC 017).</w:t>
            </w:r>
          </w:p>
          <w:p w:rsidR="006E498E" w:rsidRPr="00F446C3" w:rsidRDefault="006E498E" w:rsidP="00DA36D9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E498E" w:rsidRPr="00F446C3" w:rsidRDefault="006E498E" w:rsidP="00DA36D9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E498E" w:rsidRPr="00F446C3" w:rsidRDefault="006E498E" w:rsidP="00DA36D9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Diapositiva sobre el ciclo de Deming cuando se evoca la mejora continua</w:t>
            </w:r>
          </w:p>
        </w:tc>
      </w:tr>
      <w:tr w:rsidR="00786051" w:rsidRPr="00F446C3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F446C3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3. REX de la planta: procedimiento y ejemplos</w:t>
            </w:r>
          </w:p>
          <w:p w:rsidR="00D11427" w:rsidRPr="00F446C3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35 min -&gt;55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F446C3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Presentación del procedimiento de la planta</w:t>
            </w:r>
          </w:p>
          <w:p w:rsidR="00F65742" w:rsidRPr="00F446C3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La planta ha plasmado esta política en el procedimiento XXXXX que vamos a descubrir juntos.</w:t>
            </w:r>
          </w:p>
          <w:p w:rsidR="00BA7590" w:rsidRPr="00F446C3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818FE" w:rsidRPr="00F446C3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Distribuya el procedimiento de la planta a los participantes.</w:t>
            </w:r>
          </w:p>
          <w:p w:rsidR="00451385" w:rsidRPr="00F446C3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Déjeles 10 minutos para leerlo.</w:t>
            </w:r>
          </w:p>
          <w:p w:rsidR="00BA7590" w:rsidRPr="00F446C3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Comente los puntos clave y responda a las preguntas de los participantes.</w:t>
            </w:r>
          </w:p>
          <w:p w:rsidR="00BA7590" w:rsidRPr="00F446C3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lastRenderedPageBreak/>
              <w:t>Ilustre con ejemplos del REX de la planta.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F446C3" w:rsidRDefault="0084396E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F65742" w:rsidRPr="00F446C3" w:rsidRDefault="0084396E" w:rsidP="00A242C1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Lectura del procedimiento REX de la planta</w:t>
            </w:r>
          </w:p>
        </w:tc>
      </w:tr>
      <w:tr w:rsidR="00786051" w:rsidRPr="00F446C3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F446C3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4. Visita in situ de las medidas implantadas tras los REX</w:t>
            </w:r>
          </w:p>
          <w:p w:rsidR="005945E9" w:rsidRPr="00F446C3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945E9" w:rsidRPr="002348B4" w:rsidRDefault="005945E9" w:rsidP="00F446C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30 min -&gt;1</w:t>
            </w:r>
            <w:r w:rsidR="00F446C3">
              <w:rPr>
                <w:rFonts w:ascii="Arial" w:hAnsi="Arial" w:cs="Arial"/>
                <w:sz w:val="20"/>
                <w:szCs w:val="20"/>
                <w:lang w:val="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30</w:t>
            </w:r>
            <w:r w:rsidR="00F446C3">
              <w:rPr>
                <w:rFonts w:ascii="Arial" w:hAnsi="Arial" w:cs="Arial"/>
                <w:sz w:val="20"/>
                <w:szCs w:val="20"/>
                <w:lang w:val="es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F446C3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Experimentación in situ</w:t>
            </w:r>
          </w:p>
          <w:p w:rsidR="002771B2" w:rsidRPr="00F446C3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Distribuya los REX de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la planta seleccionados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 y preséntelos a los participantes.</w:t>
            </w:r>
          </w:p>
          <w:p w:rsidR="00995A7A" w:rsidRPr="00F446C3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Léalos con ellos.</w:t>
            </w:r>
          </w:p>
          <w:p w:rsidR="00995A7A" w:rsidRPr="00F446C3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Pídale a un participante que recapitule uno para asegurarse de que los participantes los hayan entendido correctamente.</w:t>
            </w:r>
          </w:p>
          <w:p w:rsidR="00995A7A" w:rsidRPr="00F446C3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95A7A" w:rsidRPr="00F446C3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Organice las visitas presentando el proceso: con estos dos o tres REX en la mano, cada uno deberá ir a la planta para:</w:t>
            </w:r>
          </w:p>
          <w:p w:rsidR="00995A7A" w:rsidRPr="00F446C3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Comprobar que las medidas definidas estén implantadas.</w:t>
            </w:r>
          </w:p>
          <w:p w:rsidR="00995A7A" w:rsidRPr="00F446C3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Hablar con las personas a las que el REX concierne.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Entender los posibles desvíos.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F446C3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Elija una fecha para realizar un análisis, al menos una semana después del inicio de la experimentación.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F446C3" w:rsidRDefault="00995A7A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95AFA" w:rsidRPr="00F446C3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Visita a la planta y conversación con los empleados presentes</w:t>
            </w:r>
          </w:p>
        </w:tc>
      </w:tr>
      <w:tr w:rsidR="00786051" w:rsidRPr="00F446C3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5. Análisis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30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F446C3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Análisis</w:t>
            </w:r>
          </w:p>
          <w:p w:rsidR="00414537" w:rsidRPr="00F446C3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En la fecha escogida, organice un análisis sobre los REX estudiados.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 a cada uno:</w:t>
            </w:r>
          </w:p>
          <w:p w:rsidR="00D76248" w:rsidRPr="00F446C3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Una descripción rápida del REX correspondiente</w:t>
            </w:r>
          </w:p>
          <w:p w:rsidR="00D76248" w:rsidRPr="00F446C3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Los elementos que hayan comprobado y las observaciones realizadas</w:t>
            </w:r>
          </w:p>
          <w:p w:rsidR="00557DBD" w:rsidRPr="00F446C3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Lo que hayan anotado como importante y también lo que piensen aplicar en su trabajo a diario.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F446C3" w:rsidRDefault="0091075C" w:rsidP="00AE2E3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21AE6" w:rsidRPr="00F446C3" w:rsidRDefault="00B21AE6" w:rsidP="00DD4EA6">
      <w:pPr>
        <w:outlineLvl w:val="0"/>
        <w:rPr>
          <w:rFonts w:ascii="Arial" w:hAnsi="Arial" w:cs="Arial"/>
          <w:lang w:val="es-AR"/>
        </w:rPr>
      </w:pPr>
    </w:p>
    <w:sectPr w:rsidR="00B21AE6" w:rsidRPr="00F446C3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74" w:rsidRDefault="00513374">
      <w:r>
        <w:separator/>
      </w:r>
    </w:p>
  </w:endnote>
  <w:endnote w:type="continuationSeparator" w:id="0">
    <w:p w:rsidR="00513374" w:rsidRDefault="0051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4615"/>
      <w:docPartObj>
        <w:docPartGallery w:val="Page Numbers (Bottom of Page)"/>
        <w:docPartUnique/>
      </w:docPartObj>
    </w:sdtPr>
    <w:sdtEndPr/>
    <w:sdtContent>
      <w:p w:rsidR="00EB371E" w:rsidRDefault="00F446C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446C3">
          <w:rPr>
            <w:noProof/>
            <w:lang w:val="es"/>
          </w:rPr>
          <w:t>4</w:t>
        </w:r>
        <w:r>
          <w:rPr>
            <w:noProof/>
            <w:lang w:val="es"/>
          </w:rPr>
          <w:fldChar w:fldCharType="end"/>
        </w:r>
      </w:p>
    </w:sdtContent>
  </w:sdt>
  <w:p w:rsidR="00EB371E" w:rsidRDefault="00EB3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74" w:rsidRDefault="00513374">
      <w:r>
        <w:separator/>
      </w:r>
    </w:p>
  </w:footnote>
  <w:footnote w:type="continuationSeparator" w:id="0">
    <w:p w:rsidR="00513374" w:rsidRDefault="0051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4.3 – V2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4.3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446C3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E6C93E-904E-4861-8871-B8AD835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43</cp:revision>
  <cp:lastPrinted>2016-08-08T12:58:00Z</cp:lastPrinted>
  <dcterms:created xsi:type="dcterms:W3CDTF">2016-08-08T14:38:00Z</dcterms:created>
  <dcterms:modified xsi:type="dcterms:W3CDTF">2017-06-16T20:54:00Z</dcterms:modified>
</cp:coreProperties>
</file>